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4D9C5126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7A33D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3A2A0017" w:rsidR="009839BA" w:rsidRPr="009839BA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D33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D33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6973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309CB0CD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5B6E9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A0327D6" w14:textId="71895F32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3E160783" w14:textId="77777777" w:rsidR="00F60290" w:rsidRDefault="00F60290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C573A" w14:textId="18873EA0" w:rsidR="002D3E64" w:rsidRPr="00C9484F" w:rsidRDefault="00F60290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 xml:space="preserve">기아 </w:t>
            </w:r>
            <w:r w:rsidR="000D33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 xml:space="preserve">첫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소형 전기</w:t>
            </w:r>
            <w:r w:rsidR="000D33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차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 xml:space="preserve"> 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E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>V3’</w:t>
            </w:r>
            <w:r w:rsidR="000D33E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 xml:space="preserve">,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>4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주</w:t>
            </w:r>
            <w:r w:rsidR="00932C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 xml:space="preserve">연속 </w:t>
            </w:r>
            <w:r w:rsidR="000D33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구입의향 1</w:t>
            </w:r>
            <w:r w:rsidR="000D33E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4"/>
              </w:rPr>
              <w:t xml:space="preserve">0% </w:t>
            </w:r>
            <w:r w:rsidR="000D33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>돌파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 xml:space="preserve"> </w:t>
            </w:r>
          </w:p>
          <w:p w14:paraId="5E348EBF" w14:textId="4DE6B3CB" w:rsidR="002C1714" w:rsidRPr="0062295C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BFDD0" w14:textId="46BB9CBA" w:rsidR="00C34A33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6029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 w:rsidR="00514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 w:rsidR="00F6029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5145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주차 </w:t>
            </w:r>
            <w:r w:rsidR="00F6029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소비자 구입의향 </w:t>
            </w:r>
            <w:r w:rsidR="000D33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전기차 중 </w:t>
            </w:r>
            <w:r w:rsidR="00F6029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F6029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5C06576F" w14:textId="43F49E9D" w:rsidR="0051456B" w:rsidRDefault="0051456B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96703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96703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D33ED" w:rsidRPr="0096703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중소형 </w:t>
            </w:r>
            <w:r w:rsidR="000C0738" w:rsidRPr="0096703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</w:t>
            </w:r>
            <w:r w:rsidR="00932C6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론</w:t>
            </w:r>
            <w:r w:rsidR="00967037" w:rsidRPr="0096703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이례적으로 </w:t>
            </w:r>
            <w:r w:rsidR="000D33ED" w:rsidRPr="0096703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출시 전 두 자릿수</w:t>
            </w:r>
          </w:p>
          <w:p w14:paraId="3996DC92" w14:textId="71D15BCD" w:rsidR="00080F8E" w:rsidRDefault="00321E8D" w:rsidP="00D17A2A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="0051456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D33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가격,</w:t>
            </w:r>
            <w:r w:rsidR="000D33E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D33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배터리,</w:t>
            </w:r>
            <w:r w:rsidR="000D33E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D33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주행거리 등 </w:t>
            </w:r>
            <w:proofErr w:type="spellStart"/>
            <w:r w:rsidR="000D33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스타성</w:t>
            </w:r>
            <w:proofErr w:type="spellEnd"/>
            <w:r w:rsidR="000D33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두루 갖춰</w:t>
            </w:r>
          </w:p>
          <w:p w14:paraId="54ACE958" w14:textId="1A75CBF9" w:rsidR="00786069" w:rsidRPr="00ED7D20" w:rsidRDefault="00080F8E" w:rsidP="00AB246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="00ED7D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C073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공식</w:t>
            </w:r>
            <w:r w:rsidR="00932C6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C073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앞두고 입소문 타면 </w:t>
            </w:r>
            <w:r w:rsidR="000D33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추가 상승</w:t>
            </w:r>
            <w:r w:rsidR="000C073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기대</w:t>
            </w:r>
            <w:r w:rsidR="000D33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607EDD5" w14:textId="77777777" w:rsidR="007740B6" w:rsidRPr="007740B6" w:rsidRDefault="007740B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14:paraId="2C3BC345" w14:textId="0952F9D1" w:rsidR="00A46E45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7월 출시 예정인 기아의 첫 소형 전기차 'EV3'가 4주 연속 소비자 구입의향 두 자릿수를 기록했다. 실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구입가 5000만원 이하 소형 전기차의 출시 전 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비슷한 시기의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구입의향으로는 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단연 최고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소형 전기차 중 드물게 가격, 제원 등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화제성을 갖춰 가격 공개와 사전 예약이 본격화되면 동급 전기차 기록을 한 단계 뛰어넘을 것으로 예상된다.</w:t>
      </w:r>
    </w:p>
    <w:p w14:paraId="01A1F65C" w14:textId="552B4F4F" w:rsidR="002C1714" w:rsidRPr="00B04126" w:rsidRDefault="00A46E45" w:rsidP="001643F3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0290" w:rsidRPr="00F60290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</w:t>
      </w:r>
      <w:proofErr w:type="spellStart"/>
      <w:r w:rsidR="00F60290" w:rsidRPr="00F60290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F60290" w:rsidRPr="00F6029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F60290" w:rsidRPr="00F60290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F60290" w:rsidRPr="00F6029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 구입의향은 4점 척도 중 ‘구입할 가능성 조금(3점)+많이(4점) 있다</w:t>
      </w:r>
      <w:r w:rsidR="00F60290" w:rsidRPr="00F60290">
        <w:rPr>
          <w:rFonts w:ascii="맑은 고딕" w:eastAsia="맑은 고딕" w:hAnsi="맑은 고딕" w:cs="굴림" w:hint="eastAsia"/>
          <w:color w:val="000000"/>
          <w:kern w:val="0"/>
          <w:szCs w:val="20"/>
        </w:rPr>
        <w:t>’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응답 비율이다</w:t>
      </w:r>
    </w:p>
    <w:p w14:paraId="453BD67F" w14:textId="11AE3478" w:rsidR="00D92C2A" w:rsidRPr="00323911" w:rsidRDefault="00D92C2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68638D68" w:rsidR="00DF3EFD" w:rsidRPr="00D208AD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C073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톱5</w:t>
      </w:r>
      <w:r w:rsidR="000C073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0C073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중 두 자릿수 구입의향은 </w:t>
      </w:r>
      <w:proofErr w:type="spellStart"/>
      <w:r w:rsidR="000D33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아이오닉</w:t>
      </w:r>
      <w:proofErr w:type="spellEnd"/>
      <w:r w:rsidR="000C073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9과 E</w:t>
      </w:r>
      <w:r w:rsidR="000C073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V3</w:t>
      </w:r>
      <w:r w:rsidR="000C073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뿐</w:t>
      </w:r>
      <w:r w:rsidR="00AB246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055407D6" w14:textId="1C9A870C" w:rsidR="000B2FB7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5월 4주(5월 20일 시작 주) 조사 대상 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신차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 구입의향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기아 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카니발 H</w:t>
      </w:r>
      <w:r w:rsidR="005E6C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25%)’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위,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현대차 ‘</w:t>
      </w:r>
      <w:proofErr w:type="spellStart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9(16%)'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</w:t>
      </w:r>
      <w:r w:rsidR="005E6C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벤츠 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‘E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클래스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기아 ‘EV3’</w:t>
      </w:r>
      <w:r w:rsidR="00C670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11%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동률 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</w:t>
      </w:r>
      <w:r w:rsidR="005E6C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그 다음은</w:t>
      </w:r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현대차 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스타리아</w:t>
      </w:r>
      <w:proofErr w:type="spellEnd"/>
      <w:r w:rsidR="00F11D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11D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HEV’</w:t>
      </w:r>
      <w:r w:rsidR="005E6C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</w:t>
      </w:r>
      <w:r w:rsidR="00F60290" w:rsidRPr="00F6029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5E6C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</w:t>
      </w:r>
      <w:r w:rsidR="005E6C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클래스</w:t>
      </w:r>
      <w:r w:rsidR="005E6C6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를 </w:t>
      </w:r>
      <w:r w:rsidR="005E6C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제외하고는 모두 하이브리드 또는 전기차</w:t>
      </w:r>
      <w:r w:rsidR="00932C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친환경</w:t>
      </w:r>
      <w:r w:rsidR="005E6C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모델이</w:t>
      </w:r>
      <w:r w:rsidR="00932C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며,</w:t>
      </w:r>
      <w:r w:rsidR="00932C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32C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중 </w:t>
      </w:r>
      <w:r w:rsidR="00932C66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EV3</w:t>
      </w:r>
      <w:r w:rsidR="00932C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보기 드문 소형 전기</w:t>
      </w:r>
      <w:r w:rsidR="00C670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S</w:t>
      </w:r>
      <w:r w:rsidR="00C6704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UV</w:t>
      </w:r>
      <w:r w:rsidR="005E6C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61EC8CB8" w14:textId="77777777" w:rsidR="00860BD9" w:rsidRDefault="00860BD9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8DDB0A" w14:textId="214ACE11" w:rsidR="00DF3EFD" w:rsidRDefault="004A4EB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4DD0380B" wp14:editId="72AE5367">
            <wp:extent cx="6192520" cy="4223385"/>
            <wp:effectExtent l="0" t="0" r="0" b="571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최근 6주 신차 구입의향 톱5 추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F247" w14:textId="77777777" w:rsidR="008F1DF5" w:rsidRDefault="008F1D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4AF213B" w14:textId="28BE6BC4" w:rsidR="008D589F" w:rsidRDefault="00091578" w:rsidP="00F602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EV3는 최근 6주간 10% 안팎에서 완만한 상승세를 타더니 이번에 처음으로 11%를 찍었다. 대형차급</w:t>
      </w:r>
      <w:r w:rsidR="00932C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로 10%대 중반을 달리는 </w:t>
      </w:r>
      <w:proofErr w:type="spellStart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9에는 뒤지지만 중소형 전기차로서 출시 전부터 10%대를 유지하는 것은 이례적이다.</w:t>
      </w:r>
    </w:p>
    <w:p w14:paraId="21DB5805" w14:textId="0E13D626" w:rsidR="00932C66" w:rsidRDefault="00932C66" w:rsidP="00932C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670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그만큼 다양한 매력을 갖췄다.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EV6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EV9에 이어 현대차그룹의 전용 전기차 플랫폼(E-GMP)을 사용한 기아의 세 번째 순수 전기차다. </w:t>
      </w:r>
      <w:proofErr w:type="spellStart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리튬인산철</w:t>
      </w:r>
      <w:proofErr w:type="spellEnd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(LFP) 배터리를 탑재한 중저가 전기차가 속속 출시되는 상황에서 상대적으로 고급인 </w:t>
      </w:r>
      <w:proofErr w:type="spellStart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삼원계</w:t>
      </w:r>
      <w:proofErr w:type="spellEnd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(NCM) 배터리를 장착했고 AI </w:t>
      </w:r>
      <w:proofErr w:type="spellStart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어시스턴트</w:t>
      </w:r>
      <w:proofErr w:type="spellEnd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등 다양한 기능을 탑재했다. 1회 </w:t>
      </w:r>
      <w:proofErr w:type="spellStart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충전시</w:t>
      </w:r>
      <w:proofErr w:type="spellEnd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500㎞ 이상의 주행거리를 확보한 데다 전기차 보조금을 고려하면 실구매가 3000만원대로 가성비</w:t>
      </w:r>
      <w:r w:rsidR="00C670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뛰어나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2C3900AB" w14:textId="77777777" w:rsidR="00932C66" w:rsidRPr="00932C66" w:rsidRDefault="00932C66" w:rsidP="00F602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4BF9D35" w14:textId="4D254CE8" w:rsidR="00B04767" w:rsidRDefault="00B04767" w:rsidP="00B0476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C073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EV3, </w:t>
      </w:r>
      <w:r w:rsidR="000C073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출시 전 동일 시점 다른 모델 기록 </w:t>
      </w:r>
      <w:r w:rsidR="000C073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4%p </w:t>
      </w:r>
      <w:r w:rsidR="000C073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이상 앞서</w:t>
      </w:r>
      <w:r w:rsidR="00AB246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57F05ABE" w14:textId="0A16B531" w:rsidR="00AC038A" w:rsidRDefault="00B04767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0290" w:rsidRPr="00F602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차량가격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5000만원 이하 전기차를 출시 전후 동일 시점 기준으로 비교하면 EV3의 선전은 뚜렷하다. 5개 모델(</w:t>
      </w:r>
      <w:proofErr w:type="spellStart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캐스퍼</w:t>
      </w:r>
      <w:proofErr w:type="spellEnd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EV, </w:t>
      </w:r>
      <w:proofErr w:type="spellStart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토레스</w:t>
      </w:r>
      <w:proofErr w:type="spellEnd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EVX, 코나 </w:t>
      </w:r>
      <w:proofErr w:type="spellStart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일렉트릭</w:t>
      </w:r>
      <w:proofErr w:type="spellEnd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레이EV, </w:t>
      </w:r>
      <w:proofErr w:type="spellStart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니로</w:t>
      </w:r>
      <w:proofErr w:type="spellEnd"/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중 출시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전 </w:t>
      </w:r>
      <w:r w:rsidR="005A5573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 전 10주(W-10)</w:t>
      </w:r>
      <w:r w:rsidR="008638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까지</w:t>
      </w:r>
      <w:r w:rsidR="005A55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55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10%를 넘은 것은 EV3가 유일했다</w:t>
      </w:r>
      <w:r w:rsidR="00C6704B" w:rsidRPr="00C6704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C6704B" w:rsidRPr="00C6704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6~7%대에 그</w:t>
      </w:r>
      <w:r w:rsidR="005A55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친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55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다른 모델을 </w:t>
      </w:r>
      <w:r w:rsidR="00F60290"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4%포인트 이상 앞서 가고 있다.</w:t>
      </w:r>
    </w:p>
    <w:p w14:paraId="30AB8C49" w14:textId="77777777" w:rsidR="00A74E53" w:rsidRPr="0040500D" w:rsidRDefault="00A74E5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2108D2F5" w14:textId="5D8DB2B0" w:rsidR="00087292" w:rsidRDefault="00F60290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noProof/>
          <w:color w:val="000000"/>
          <w:kern w:val="0"/>
          <w:sz w:val="24"/>
          <w:szCs w:val="24"/>
        </w:rPr>
        <w:drawing>
          <wp:inline distT="0" distB="0" distL="0" distR="0" wp14:anchorId="200CF430" wp14:editId="2A7792F9">
            <wp:extent cx="6192520" cy="3769360"/>
            <wp:effectExtent l="0" t="0" r="0" b="254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5000만원 이하 전기차 구입의향 추이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CED" w14:textId="3284B8A9" w:rsidR="00901316" w:rsidRDefault="0090131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60C70B7C" w14:textId="2E76E18E" w:rsidR="00F60290" w:rsidRDefault="00F60290" w:rsidP="00F602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602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최근 조사에 응답한 소비자의 구입의향 이유(VOC)를 보면 '가격(</w:t>
      </w:r>
      <w:proofErr w:type="spellStart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가성비</w:t>
      </w:r>
      <w:proofErr w:type="spellEnd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)' '적당한 크기(소형)' '전기차' 등의 키워드가 가장 많다. 중대형 </w:t>
      </w:r>
      <w:proofErr w:type="spellStart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차급</w:t>
      </w:r>
      <w:proofErr w:type="spellEnd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위주의 전기차 시장에 등장한 소형 전기 SUV로서 나름의 희소성으로 일정한 고객층이 대기 중인 것으로 풀이된다. </w:t>
      </w:r>
    </w:p>
    <w:p w14:paraId="21B7C062" w14:textId="282A3450" w:rsidR="00932C66" w:rsidRPr="00F60290" w:rsidRDefault="00932C66" w:rsidP="00F602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602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EV3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지난 23일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기아가 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월드 프리미어 영상을 통해 처음 공개했다. </w:t>
      </w:r>
      <w:r w:rsidR="00D5653F" w:rsidRPr="00D5653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행사가</w:t>
      </w:r>
      <w:r w:rsidR="00D5653F" w:rsidRPr="00D565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이번 조사 시기(5월 22~27일) 중이긴 하나 조사 결과에 온전히 영향을 미치지는 않았을 것으로 추정된다.</w:t>
      </w:r>
    </w:p>
    <w:p w14:paraId="1F4C282C" w14:textId="29AA9B4F" w:rsidR="00550D0C" w:rsidRDefault="00F60290" w:rsidP="00F602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602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32C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따라서 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EV3가 갖춘 다양한 '</w:t>
      </w:r>
      <w:proofErr w:type="spellStart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스타성</w:t>
      </w:r>
      <w:proofErr w:type="spellEnd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'은 이제 막 입소문을 타는 시점이다. 6월 초 예약 판매와 7월 공식 출시까지 적절한 이벤트가 이어진다면 이전에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비슷한 차급에서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니로</w:t>
      </w:r>
      <w:proofErr w:type="spellEnd"/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코나 </w:t>
      </w:r>
      <w:proofErr w:type="spellStart"/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일렉트릭</w:t>
      </w:r>
      <w:proofErr w:type="spellEnd"/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Pr="00F6029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기록했던 10% 중반대 구입의향을 뛰어넘기는 어렵지 않을 것으로 전망된다.</w:t>
      </w:r>
    </w:p>
    <w:p w14:paraId="4DDBCB8C" w14:textId="1114F4C0" w:rsidR="000C0738" w:rsidRDefault="000C0738" w:rsidP="00F602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BFE356D" w14:textId="77777777" w:rsidR="00932C66" w:rsidRDefault="00932C66" w:rsidP="00F602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81B5D33" w14:textId="125481F9" w:rsidR="00822ED6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1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4924A09C" w14:textId="77777777" w:rsidR="005B6E99" w:rsidRDefault="005B6E9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02BF6233" w14:textId="0BDE1854" w:rsidR="009839BA" w:rsidRPr="009839BA" w:rsidRDefault="00973713" w:rsidP="00973713">
      <w:pPr>
        <w:widowControl/>
        <w:wordWrap/>
        <w:autoSpaceDE/>
        <w:autoSpaceDN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00B7" wp14:editId="6B5FBC89">
                <wp:simplePos x="0" y="0"/>
                <wp:positionH relativeFrom="column">
                  <wp:posOffset>20955</wp:posOffset>
                </wp:positionH>
                <wp:positionV relativeFrom="paragraph">
                  <wp:posOffset>542924</wp:posOffset>
                </wp:positionV>
                <wp:extent cx="604837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23A6" id="직선 연결선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2.75pt" to="477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BA77C4"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A77C4"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EF6F32C">
            <wp:extent cx="4492062" cy="2817213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764" cy="28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E6E7" w14:textId="1E7082BF" w:rsidR="007740B6" w:rsidRDefault="007740B6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11532D79" w14:textId="5FFB0306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3C3EEDA3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405E3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7C3B94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7C3B94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4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5B6E99" w:rsidRPr="009839BA" w14:paraId="217FBA3A" w14:textId="77777777" w:rsidTr="007740B6">
        <w:trPr>
          <w:trHeight w:val="98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4FBFC8A1" w:rsidR="005B6E99" w:rsidRDefault="00A74E53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김민선</w:t>
            </w:r>
            <w:r w:rsidR="005B6E99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61D0151C" w:rsidR="005B6E99" w:rsidRDefault="007C3B94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A74E53" w:rsidRPr="0073161D">
                <w:rPr>
                  <w:rStyle w:val="a4"/>
                  <w:rFonts w:hint="eastAsia"/>
                </w:rPr>
                <w:t>k</w:t>
              </w:r>
              <w:r w:rsidR="00A74E53" w:rsidRPr="0073161D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65EE1B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A74E53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A0C2" w14:textId="77777777" w:rsidR="007C3B94" w:rsidRDefault="007C3B94" w:rsidP="009839BA">
      <w:pPr>
        <w:spacing w:after="0" w:line="240" w:lineRule="auto"/>
      </w:pPr>
      <w:r>
        <w:separator/>
      </w:r>
    </w:p>
  </w:endnote>
  <w:endnote w:type="continuationSeparator" w:id="0">
    <w:p w14:paraId="5D69098A" w14:textId="77777777" w:rsidR="007C3B94" w:rsidRDefault="007C3B9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2A69" w14:textId="77777777" w:rsidR="007C3B94" w:rsidRDefault="007C3B94" w:rsidP="009839BA">
      <w:pPr>
        <w:spacing w:after="0" w:line="240" w:lineRule="auto"/>
      </w:pPr>
      <w:r>
        <w:separator/>
      </w:r>
    </w:p>
  </w:footnote>
  <w:footnote w:type="continuationSeparator" w:id="0">
    <w:p w14:paraId="5772AA37" w14:textId="77777777" w:rsidR="007C3B94" w:rsidRDefault="007C3B9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3390B418" w:rsidR="005A23FF" w:rsidRPr="009839BA" w:rsidRDefault="005A23FF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0D33E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0D33E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31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1051B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30FF"/>
    <w:rsid w:val="000264B6"/>
    <w:rsid w:val="000267B2"/>
    <w:rsid w:val="0002723E"/>
    <w:rsid w:val="000304C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DC9"/>
    <w:rsid w:val="00083DFA"/>
    <w:rsid w:val="00086CD3"/>
    <w:rsid w:val="00087292"/>
    <w:rsid w:val="00091578"/>
    <w:rsid w:val="00093471"/>
    <w:rsid w:val="000936E9"/>
    <w:rsid w:val="000956A9"/>
    <w:rsid w:val="000A07E1"/>
    <w:rsid w:val="000A0BB5"/>
    <w:rsid w:val="000A16CD"/>
    <w:rsid w:val="000A1AB1"/>
    <w:rsid w:val="000A2D3B"/>
    <w:rsid w:val="000A2F8A"/>
    <w:rsid w:val="000A3F16"/>
    <w:rsid w:val="000A4694"/>
    <w:rsid w:val="000A575E"/>
    <w:rsid w:val="000B2412"/>
    <w:rsid w:val="000B2FB7"/>
    <w:rsid w:val="000B3D8D"/>
    <w:rsid w:val="000B4810"/>
    <w:rsid w:val="000B6364"/>
    <w:rsid w:val="000C0738"/>
    <w:rsid w:val="000C1E52"/>
    <w:rsid w:val="000C3F24"/>
    <w:rsid w:val="000C4997"/>
    <w:rsid w:val="000C6961"/>
    <w:rsid w:val="000C7962"/>
    <w:rsid w:val="000D0400"/>
    <w:rsid w:val="000D33ED"/>
    <w:rsid w:val="000D427C"/>
    <w:rsid w:val="000D5498"/>
    <w:rsid w:val="000D61CB"/>
    <w:rsid w:val="000E08CC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153D"/>
    <w:rsid w:val="00103A2F"/>
    <w:rsid w:val="00103F91"/>
    <w:rsid w:val="001051BF"/>
    <w:rsid w:val="0010628F"/>
    <w:rsid w:val="001133A5"/>
    <w:rsid w:val="00114E0C"/>
    <w:rsid w:val="00115976"/>
    <w:rsid w:val="00116AAF"/>
    <w:rsid w:val="001213E5"/>
    <w:rsid w:val="00125ABC"/>
    <w:rsid w:val="00131606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3F3"/>
    <w:rsid w:val="001648D6"/>
    <w:rsid w:val="001721B2"/>
    <w:rsid w:val="00172473"/>
    <w:rsid w:val="00174CD5"/>
    <w:rsid w:val="00180CAB"/>
    <w:rsid w:val="001813C5"/>
    <w:rsid w:val="00184930"/>
    <w:rsid w:val="00186A0A"/>
    <w:rsid w:val="0019328F"/>
    <w:rsid w:val="001A0704"/>
    <w:rsid w:val="001A30E7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8D0"/>
    <w:rsid w:val="001F4E16"/>
    <w:rsid w:val="00202B1D"/>
    <w:rsid w:val="00204DF6"/>
    <w:rsid w:val="00204EAD"/>
    <w:rsid w:val="002055B4"/>
    <w:rsid w:val="0021163A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569"/>
    <w:rsid w:val="0026185F"/>
    <w:rsid w:val="00261B12"/>
    <w:rsid w:val="00264027"/>
    <w:rsid w:val="00270427"/>
    <w:rsid w:val="00270AF9"/>
    <w:rsid w:val="00271521"/>
    <w:rsid w:val="0027263C"/>
    <w:rsid w:val="00274283"/>
    <w:rsid w:val="002742A9"/>
    <w:rsid w:val="00276657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E2D79"/>
    <w:rsid w:val="002E5CD8"/>
    <w:rsid w:val="002F083E"/>
    <w:rsid w:val="002F339D"/>
    <w:rsid w:val="002F3F1F"/>
    <w:rsid w:val="002F646A"/>
    <w:rsid w:val="00301334"/>
    <w:rsid w:val="003026FA"/>
    <w:rsid w:val="00303D94"/>
    <w:rsid w:val="00305702"/>
    <w:rsid w:val="003112D6"/>
    <w:rsid w:val="00312FF1"/>
    <w:rsid w:val="00313563"/>
    <w:rsid w:val="00313E51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3807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95899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C3484"/>
    <w:rsid w:val="003C42BC"/>
    <w:rsid w:val="003C4A15"/>
    <w:rsid w:val="003C4FFC"/>
    <w:rsid w:val="003C7406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C28"/>
    <w:rsid w:val="003F220C"/>
    <w:rsid w:val="003F3030"/>
    <w:rsid w:val="003F746E"/>
    <w:rsid w:val="003F7771"/>
    <w:rsid w:val="004015FB"/>
    <w:rsid w:val="0040500D"/>
    <w:rsid w:val="00405072"/>
    <w:rsid w:val="004059FD"/>
    <w:rsid w:val="00405E37"/>
    <w:rsid w:val="00414CF4"/>
    <w:rsid w:val="00414F50"/>
    <w:rsid w:val="00422A7D"/>
    <w:rsid w:val="00422AFA"/>
    <w:rsid w:val="004242ED"/>
    <w:rsid w:val="00425553"/>
    <w:rsid w:val="00426413"/>
    <w:rsid w:val="00426C43"/>
    <w:rsid w:val="004327F7"/>
    <w:rsid w:val="004329AB"/>
    <w:rsid w:val="004340DC"/>
    <w:rsid w:val="0043546F"/>
    <w:rsid w:val="004376A7"/>
    <w:rsid w:val="00440703"/>
    <w:rsid w:val="00440CF9"/>
    <w:rsid w:val="00444DF7"/>
    <w:rsid w:val="0044622E"/>
    <w:rsid w:val="00446FE2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7CC7"/>
    <w:rsid w:val="00480CE5"/>
    <w:rsid w:val="00481611"/>
    <w:rsid w:val="00482003"/>
    <w:rsid w:val="004829E3"/>
    <w:rsid w:val="00483A38"/>
    <w:rsid w:val="00492826"/>
    <w:rsid w:val="0049339D"/>
    <w:rsid w:val="004939BF"/>
    <w:rsid w:val="004A0D1E"/>
    <w:rsid w:val="004A1156"/>
    <w:rsid w:val="004A4EB5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7A2F"/>
    <w:rsid w:val="00500193"/>
    <w:rsid w:val="00500244"/>
    <w:rsid w:val="00501AA2"/>
    <w:rsid w:val="00507C10"/>
    <w:rsid w:val="0051456B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A09B0"/>
    <w:rsid w:val="005A23FF"/>
    <w:rsid w:val="005A4E76"/>
    <w:rsid w:val="005A5573"/>
    <w:rsid w:val="005A777C"/>
    <w:rsid w:val="005B0AEC"/>
    <w:rsid w:val="005B0F45"/>
    <w:rsid w:val="005B24BE"/>
    <w:rsid w:val="005B2576"/>
    <w:rsid w:val="005B4A08"/>
    <w:rsid w:val="005B5FEA"/>
    <w:rsid w:val="005B6E99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3BDB"/>
    <w:rsid w:val="005E5222"/>
    <w:rsid w:val="005E6523"/>
    <w:rsid w:val="005E6C69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BC6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72A4B"/>
    <w:rsid w:val="00677C40"/>
    <w:rsid w:val="006819F8"/>
    <w:rsid w:val="00682B24"/>
    <w:rsid w:val="006835B8"/>
    <w:rsid w:val="00683EE8"/>
    <w:rsid w:val="00691664"/>
    <w:rsid w:val="006923F5"/>
    <w:rsid w:val="00692EA7"/>
    <w:rsid w:val="00693A60"/>
    <w:rsid w:val="00694A97"/>
    <w:rsid w:val="00695C95"/>
    <w:rsid w:val="00696B27"/>
    <w:rsid w:val="0069736F"/>
    <w:rsid w:val="006A2780"/>
    <w:rsid w:val="006A7DD5"/>
    <w:rsid w:val="006B0B74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A53"/>
    <w:rsid w:val="00761B95"/>
    <w:rsid w:val="007620A5"/>
    <w:rsid w:val="0076563A"/>
    <w:rsid w:val="00765988"/>
    <w:rsid w:val="007662A7"/>
    <w:rsid w:val="007673CA"/>
    <w:rsid w:val="00767C91"/>
    <w:rsid w:val="00770150"/>
    <w:rsid w:val="00770E3E"/>
    <w:rsid w:val="00771937"/>
    <w:rsid w:val="0077376B"/>
    <w:rsid w:val="007740B6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33D7"/>
    <w:rsid w:val="007A47FF"/>
    <w:rsid w:val="007A4C88"/>
    <w:rsid w:val="007A6292"/>
    <w:rsid w:val="007A635D"/>
    <w:rsid w:val="007A6BE2"/>
    <w:rsid w:val="007B490D"/>
    <w:rsid w:val="007B7DE7"/>
    <w:rsid w:val="007C1813"/>
    <w:rsid w:val="007C211B"/>
    <w:rsid w:val="007C3B94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E42"/>
    <w:rsid w:val="007E21F2"/>
    <w:rsid w:val="007E4936"/>
    <w:rsid w:val="007E5578"/>
    <w:rsid w:val="007F00C3"/>
    <w:rsid w:val="007F5D03"/>
    <w:rsid w:val="007F75D4"/>
    <w:rsid w:val="007F7947"/>
    <w:rsid w:val="0080142A"/>
    <w:rsid w:val="008015C5"/>
    <w:rsid w:val="00803C60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544C6"/>
    <w:rsid w:val="00856B68"/>
    <w:rsid w:val="00860BD9"/>
    <w:rsid w:val="00861E10"/>
    <w:rsid w:val="00863869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2C66"/>
    <w:rsid w:val="0093554B"/>
    <w:rsid w:val="009362C3"/>
    <w:rsid w:val="00940306"/>
    <w:rsid w:val="0094168F"/>
    <w:rsid w:val="00941747"/>
    <w:rsid w:val="009417A4"/>
    <w:rsid w:val="0094393D"/>
    <w:rsid w:val="00947954"/>
    <w:rsid w:val="009515BA"/>
    <w:rsid w:val="00953099"/>
    <w:rsid w:val="00954E6A"/>
    <w:rsid w:val="009574B7"/>
    <w:rsid w:val="009612DC"/>
    <w:rsid w:val="00961552"/>
    <w:rsid w:val="00961759"/>
    <w:rsid w:val="00967037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6B46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EC2"/>
    <w:rsid w:val="00A15D5C"/>
    <w:rsid w:val="00A16000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552E"/>
    <w:rsid w:val="00A57055"/>
    <w:rsid w:val="00A616AB"/>
    <w:rsid w:val="00A62494"/>
    <w:rsid w:val="00A64DAE"/>
    <w:rsid w:val="00A672F5"/>
    <w:rsid w:val="00A709DA"/>
    <w:rsid w:val="00A713BF"/>
    <w:rsid w:val="00A72878"/>
    <w:rsid w:val="00A72E29"/>
    <w:rsid w:val="00A73C7D"/>
    <w:rsid w:val="00A74365"/>
    <w:rsid w:val="00A74E53"/>
    <w:rsid w:val="00A7565F"/>
    <w:rsid w:val="00A7675C"/>
    <w:rsid w:val="00A830FC"/>
    <w:rsid w:val="00A8400D"/>
    <w:rsid w:val="00A856EF"/>
    <w:rsid w:val="00A859CC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1CA1"/>
    <w:rsid w:val="00AB246E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5408"/>
    <w:rsid w:val="00AE6678"/>
    <w:rsid w:val="00AE7629"/>
    <w:rsid w:val="00AF200E"/>
    <w:rsid w:val="00AF3215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819"/>
    <w:rsid w:val="00B836CF"/>
    <w:rsid w:val="00B83B1F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DD"/>
    <w:rsid w:val="00BA30E6"/>
    <w:rsid w:val="00BA5174"/>
    <w:rsid w:val="00BA53D4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C6F3E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58F8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150"/>
    <w:rsid w:val="00C16FE6"/>
    <w:rsid w:val="00C20CA4"/>
    <w:rsid w:val="00C21B95"/>
    <w:rsid w:val="00C22050"/>
    <w:rsid w:val="00C251D8"/>
    <w:rsid w:val="00C25F2A"/>
    <w:rsid w:val="00C2644D"/>
    <w:rsid w:val="00C26ECD"/>
    <w:rsid w:val="00C27792"/>
    <w:rsid w:val="00C33659"/>
    <w:rsid w:val="00C34A33"/>
    <w:rsid w:val="00C40C2D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6704B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3ECC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389"/>
    <w:rsid w:val="00CE1B48"/>
    <w:rsid w:val="00CE2267"/>
    <w:rsid w:val="00CE3CE3"/>
    <w:rsid w:val="00CE7612"/>
    <w:rsid w:val="00CF0037"/>
    <w:rsid w:val="00CF1EBF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A8C"/>
    <w:rsid w:val="00D26586"/>
    <w:rsid w:val="00D265BD"/>
    <w:rsid w:val="00D271F6"/>
    <w:rsid w:val="00D27BE9"/>
    <w:rsid w:val="00D27F6D"/>
    <w:rsid w:val="00D30C69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5DA2"/>
    <w:rsid w:val="00D5653F"/>
    <w:rsid w:val="00D56FD3"/>
    <w:rsid w:val="00D63D97"/>
    <w:rsid w:val="00D64053"/>
    <w:rsid w:val="00D66EBF"/>
    <w:rsid w:val="00D726E2"/>
    <w:rsid w:val="00D72F40"/>
    <w:rsid w:val="00D7319D"/>
    <w:rsid w:val="00D74474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15A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7949"/>
    <w:rsid w:val="00E30C7C"/>
    <w:rsid w:val="00E33A66"/>
    <w:rsid w:val="00E33EF9"/>
    <w:rsid w:val="00E3433E"/>
    <w:rsid w:val="00E3493C"/>
    <w:rsid w:val="00E35913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18A6"/>
    <w:rsid w:val="00E62D29"/>
    <w:rsid w:val="00E632CC"/>
    <w:rsid w:val="00E661F3"/>
    <w:rsid w:val="00E6780B"/>
    <w:rsid w:val="00E679F3"/>
    <w:rsid w:val="00E703A4"/>
    <w:rsid w:val="00E703EA"/>
    <w:rsid w:val="00E71D1E"/>
    <w:rsid w:val="00E729F4"/>
    <w:rsid w:val="00E72E27"/>
    <w:rsid w:val="00E730C9"/>
    <w:rsid w:val="00E7514E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4DBB"/>
    <w:rsid w:val="00EC6922"/>
    <w:rsid w:val="00EC6C26"/>
    <w:rsid w:val="00EC7290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1DA5"/>
    <w:rsid w:val="00F164C2"/>
    <w:rsid w:val="00F20021"/>
    <w:rsid w:val="00F21D81"/>
    <w:rsid w:val="00F22B9A"/>
    <w:rsid w:val="00F23C6E"/>
    <w:rsid w:val="00F23FCA"/>
    <w:rsid w:val="00F30B5B"/>
    <w:rsid w:val="00F30C39"/>
    <w:rsid w:val="00F34653"/>
    <w:rsid w:val="00F34D66"/>
    <w:rsid w:val="00F37D10"/>
    <w:rsid w:val="00F41033"/>
    <w:rsid w:val="00F42C34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290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4B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5337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mm.consumerinsight.co.kr/frmSurveyD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mms@consumerinsight.kr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yoohg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4352-C077-4462-83A5-AF3947AE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8</cp:revision>
  <cp:lastPrinted>2024-05-30T04:44:00Z</cp:lastPrinted>
  <dcterms:created xsi:type="dcterms:W3CDTF">2024-05-30T04:15:00Z</dcterms:created>
  <dcterms:modified xsi:type="dcterms:W3CDTF">2024-05-30T06:30:00Z</dcterms:modified>
</cp:coreProperties>
</file>